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8"/>
        <w:gridCol w:w="7403"/>
      </w:tblGrid>
      <w:tr w:rsidR="009D053B" w:rsidTr="00F849FA">
        <w:tc>
          <w:tcPr>
            <w:tcW w:w="9061" w:type="dxa"/>
            <w:gridSpan w:val="2"/>
          </w:tcPr>
          <w:p w:rsidR="009D053B" w:rsidRDefault="009D053B" w:rsidP="000B44AB">
            <w:pPr>
              <w:ind w:firstLine="800"/>
              <w:jc w:val="center"/>
            </w:pPr>
            <w:r>
              <w:rPr>
                <w:rFonts w:eastAsia="標楷體" w:hint="eastAsia"/>
                <w:color w:val="000000"/>
                <w:sz w:val="40"/>
              </w:rPr>
              <w:t>雲林縣臺西鄉民代表會出國考察報告表</w:t>
            </w:r>
          </w:p>
        </w:tc>
      </w:tr>
      <w:tr w:rsidR="009D053B" w:rsidTr="000B44AB">
        <w:trPr>
          <w:trHeight w:val="567"/>
        </w:trPr>
        <w:tc>
          <w:tcPr>
            <w:tcW w:w="1658" w:type="dxa"/>
            <w:vAlign w:val="center"/>
          </w:tcPr>
          <w:p w:rsidR="009D053B" w:rsidRDefault="009D053B" w:rsidP="000B44AB">
            <w:pPr>
              <w:snapToGrid w:val="0"/>
              <w:spacing w:line="180" w:lineRule="auto"/>
              <w:ind w:firstLine="0"/>
              <w:jc w:val="center"/>
            </w:pPr>
            <w:r>
              <w:rPr>
                <w:rFonts w:eastAsia="標楷體" w:hint="eastAsia"/>
                <w:color w:val="000000"/>
                <w:sz w:val="32"/>
              </w:rPr>
              <w:t>出國人員</w:t>
            </w:r>
          </w:p>
        </w:tc>
        <w:tc>
          <w:tcPr>
            <w:tcW w:w="7403" w:type="dxa"/>
            <w:vAlign w:val="center"/>
          </w:tcPr>
          <w:p w:rsidR="009D053B" w:rsidRPr="00506BB3" w:rsidRDefault="00733A00" w:rsidP="000B44AB">
            <w:pPr>
              <w:snapToGrid w:val="0"/>
              <w:spacing w:line="180" w:lineRule="auto"/>
              <w:ind w:firstLine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代表 戴勇男</w:t>
            </w:r>
          </w:p>
        </w:tc>
      </w:tr>
      <w:tr w:rsidR="009D053B" w:rsidTr="000B44AB">
        <w:trPr>
          <w:trHeight w:val="567"/>
        </w:trPr>
        <w:tc>
          <w:tcPr>
            <w:tcW w:w="1658" w:type="dxa"/>
            <w:vAlign w:val="center"/>
          </w:tcPr>
          <w:p w:rsidR="009D053B" w:rsidRDefault="009D053B" w:rsidP="000B44AB">
            <w:pPr>
              <w:snapToGrid w:val="0"/>
              <w:spacing w:line="180" w:lineRule="auto"/>
              <w:ind w:firstLine="0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出國地點</w:t>
            </w:r>
          </w:p>
        </w:tc>
        <w:tc>
          <w:tcPr>
            <w:tcW w:w="7403" w:type="dxa"/>
            <w:vAlign w:val="center"/>
          </w:tcPr>
          <w:p w:rsidR="009D053B" w:rsidRPr="0057054A" w:rsidRDefault="00605F63" w:rsidP="000B44AB">
            <w:pPr>
              <w:snapToGrid w:val="0"/>
              <w:spacing w:line="180" w:lineRule="auto"/>
              <w:ind w:firstLine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越南</w:t>
            </w:r>
          </w:p>
        </w:tc>
      </w:tr>
      <w:tr w:rsidR="009D053B" w:rsidTr="000B44AB">
        <w:trPr>
          <w:trHeight w:val="567"/>
        </w:trPr>
        <w:tc>
          <w:tcPr>
            <w:tcW w:w="1658" w:type="dxa"/>
            <w:vAlign w:val="center"/>
          </w:tcPr>
          <w:p w:rsidR="009D053B" w:rsidRDefault="009D053B" w:rsidP="000B44AB">
            <w:pPr>
              <w:snapToGrid w:val="0"/>
              <w:spacing w:line="180" w:lineRule="auto"/>
              <w:ind w:firstLine="0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出國日期</w:t>
            </w:r>
          </w:p>
        </w:tc>
        <w:tc>
          <w:tcPr>
            <w:tcW w:w="7403" w:type="dxa"/>
            <w:vAlign w:val="center"/>
          </w:tcPr>
          <w:p w:rsidR="009D053B" w:rsidRDefault="009D053B" w:rsidP="000B44AB">
            <w:pPr>
              <w:snapToGrid w:val="0"/>
              <w:spacing w:line="180" w:lineRule="auto"/>
              <w:ind w:firstLine="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自</w:t>
            </w:r>
            <w:r w:rsidR="004F2BFE">
              <w:rPr>
                <w:rFonts w:eastAsia="標楷體" w:hint="eastAsia"/>
                <w:color w:val="000000"/>
                <w:sz w:val="32"/>
              </w:rPr>
              <w:t>1</w:t>
            </w:r>
            <w:r w:rsidR="00605F63">
              <w:rPr>
                <w:rFonts w:eastAsia="標楷體" w:hint="eastAsia"/>
                <w:color w:val="000000"/>
                <w:sz w:val="32"/>
              </w:rPr>
              <w:t>12</w:t>
            </w:r>
            <w:r>
              <w:rPr>
                <w:rFonts w:eastAsia="標楷體" w:hint="eastAsia"/>
                <w:color w:val="000000"/>
                <w:sz w:val="32"/>
              </w:rPr>
              <w:t>年</w:t>
            </w:r>
            <w:r w:rsidR="00733A00">
              <w:rPr>
                <w:rFonts w:eastAsia="標楷體" w:hint="eastAsia"/>
                <w:color w:val="000000"/>
                <w:sz w:val="32"/>
              </w:rPr>
              <w:t>7</w:t>
            </w:r>
            <w:r>
              <w:rPr>
                <w:rFonts w:eastAsia="標楷體" w:hint="eastAsia"/>
                <w:color w:val="000000"/>
                <w:sz w:val="32"/>
              </w:rPr>
              <w:t>月</w:t>
            </w:r>
            <w:r w:rsidR="00733A00">
              <w:rPr>
                <w:rFonts w:eastAsia="標楷體" w:hint="eastAsia"/>
                <w:color w:val="000000"/>
                <w:sz w:val="32"/>
              </w:rPr>
              <w:t>15</w:t>
            </w:r>
            <w:r>
              <w:rPr>
                <w:rFonts w:eastAsia="標楷體" w:hint="eastAsia"/>
                <w:color w:val="000000"/>
                <w:sz w:val="32"/>
              </w:rPr>
              <w:t>日起至</w:t>
            </w:r>
            <w:r w:rsidR="004F2BFE">
              <w:rPr>
                <w:rFonts w:eastAsia="標楷體" w:hint="eastAsia"/>
                <w:color w:val="000000"/>
                <w:sz w:val="32"/>
              </w:rPr>
              <w:t>1</w:t>
            </w:r>
            <w:r w:rsidR="00605F63">
              <w:rPr>
                <w:rFonts w:eastAsia="標楷體" w:hint="eastAsia"/>
                <w:color w:val="000000"/>
                <w:sz w:val="32"/>
              </w:rPr>
              <w:t>12</w:t>
            </w:r>
            <w:r>
              <w:rPr>
                <w:rFonts w:eastAsia="標楷體" w:hint="eastAsia"/>
                <w:color w:val="000000"/>
                <w:sz w:val="32"/>
              </w:rPr>
              <w:t>年</w:t>
            </w:r>
            <w:r w:rsidR="00733A00">
              <w:rPr>
                <w:rFonts w:eastAsia="標楷體" w:hint="eastAsia"/>
                <w:color w:val="000000"/>
                <w:sz w:val="32"/>
              </w:rPr>
              <w:t>7</w:t>
            </w:r>
            <w:r>
              <w:rPr>
                <w:rFonts w:eastAsia="標楷體" w:hint="eastAsia"/>
                <w:color w:val="000000"/>
                <w:sz w:val="32"/>
              </w:rPr>
              <w:t>月</w:t>
            </w:r>
            <w:r w:rsidR="00733A00">
              <w:rPr>
                <w:rFonts w:eastAsia="標楷體" w:hint="eastAsia"/>
                <w:color w:val="000000"/>
                <w:sz w:val="32"/>
              </w:rPr>
              <w:t>19</w:t>
            </w:r>
            <w:r>
              <w:rPr>
                <w:rFonts w:eastAsia="標楷體" w:hint="eastAsia"/>
                <w:color w:val="000000"/>
                <w:sz w:val="32"/>
              </w:rPr>
              <w:t>日止計</w:t>
            </w:r>
            <w:r w:rsidR="0019217F">
              <w:rPr>
                <w:rFonts w:eastAsia="標楷體" w:hint="eastAsia"/>
                <w:color w:val="000000"/>
                <w:sz w:val="32"/>
              </w:rPr>
              <w:t>5</w:t>
            </w:r>
            <w:r>
              <w:rPr>
                <w:rFonts w:eastAsia="標楷體" w:hint="eastAsia"/>
                <w:color w:val="000000"/>
                <w:sz w:val="32"/>
              </w:rPr>
              <w:t>天。</w:t>
            </w:r>
          </w:p>
        </w:tc>
      </w:tr>
      <w:tr w:rsidR="009D053B" w:rsidTr="000B44AB">
        <w:trPr>
          <w:trHeight w:val="567"/>
        </w:trPr>
        <w:tc>
          <w:tcPr>
            <w:tcW w:w="1658" w:type="dxa"/>
            <w:vAlign w:val="center"/>
          </w:tcPr>
          <w:p w:rsidR="009D053B" w:rsidRDefault="009D053B" w:rsidP="000B44AB">
            <w:pPr>
              <w:snapToGrid w:val="0"/>
              <w:spacing w:line="180" w:lineRule="auto"/>
              <w:ind w:firstLine="0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報告日期</w:t>
            </w:r>
          </w:p>
        </w:tc>
        <w:tc>
          <w:tcPr>
            <w:tcW w:w="7403" w:type="dxa"/>
            <w:vAlign w:val="center"/>
          </w:tcPr>
          <w:p w:rsidR="009D053B" w:rsidRDefault="004F2BFE" w:rsidP="000B44AB">
            <w:pPr>
              <w:snapToGrid w:val="0"/>
              <w:spacing w:line="180" w:lineRule="auto"/>
              <w:ind w:firstLine="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</w:t>
            </w:r>
            <w:r w:rsidR="00605F63">
              <w:rPr>
                <w:rFonts w:eastAsia="標楷體" w:hint="eastAsia"/>
                <w:color w:val="000000"/>
                <w:sz w:val="32"/>
              </w:rPr>
              <w:t>12</w:t>
            </w:r>
            <w:r>
              <w:rPr>
                <w:rFonts w:eastAsia="標楷體" w:hint="eastAsia"/>
                <w:color w:val="000000"/>
                <w:sz w:val="32"/>
              </w:rPr>
              <w:t>年</w:t>
            </w:r>
            <w:r w:rsidR="00733A00">
              <w:rPr>
                <w:rFonts w:eastAsia="標楷體" w:hint="eastAsia"/>
                <w:color w:val="000000"/>
                <w:sz w:val="32"/>
              </w:rPr>
              <w:t>7</w:t>
            </w:r>
            <w:r>
              <w:rPr>
                <w:rFonts w:eastAsia="標楷體" w:hint="eastAsia"/>
                <w:color w:val="000000"/>
                <w:sz w:val="32"/>
              </w:rPr>
              <w:t>月</w:t>
            </w:r>
            <w:r w:rsidR="00733A00">
              <w:rPr>
                <w:rFonts w:eastAsia="標楷體" w:hint="eastAsia"/>
                <w:color w:val="000000"/>
                <w:sz w:val="32"/>
              </w:rPr>
              <w:t>24</w:t>
            </w:r>
            <w:r w:rsidR="00916DB6">
              <w:rPr>
                <w:rFonts w:eastAsia="標楷體" w:hint="eastAsia"/>
                <w:color w:val="000000"/>
                <w:sz w:val="32"/>
              </w:rPr>
              <w:t>日</w:t>
            </w:r>
          </w:p>
        </w:tc>
      </w:tr>
      <w:tr w:rsidR="009D053B" w:rsidTr="000B44AB">
        <w:trPr>
          <w:trHeight w:val="567"/>
        </w:trPr>
        <w:tc>
          <w:tcPr>
            <w:tcW w:w="1658" w:type="dxa"/>
            <w:vAlign w:val="center"/>
          </w:tcPr>
          <w:p w:rsidR="009D053B" w:rsidRDefault="009D053B" w:rsidP="000B44AB">
            <w:pPr>
              <w:snapToGrid w:val="0"/>
              <w:spacing w:line="180" w:lineRule="auto"/>
              <w:ind w:firstLine="0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考察目的</w:t>
            </w:r>
          </w:p>
        </w:tc>
        <w:tc>
          <w:tcPr>
            <w:tcW w:w="7403" w:type="dxa"/>
            <w:vAlign w:val="center"/>
          </w:tcPr>
          <w:p w:rsidR="009D053B" w:rsidRDefault="00386751" w:rsidP="000B44AB">
            <w:pPr>
              <w:snapToGrid w:val="0"/>
              <w:spacing w:line="180" w:lineRule="auto"/>
              <w:ind w:firstLine="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考察當地經濟、交通、文化、觀光等產業</w:t>
            </w:r>
            <w:r w:rsidR="009D053B">
              <w:rPr>
                <w:rFonts w:eastAsia="標楷體" w:hint="eastAsia"/>
                <w:color w:val="000000"/>
                <w:sz w:val="32"/>
              </w:rPr>
              <w:t>設施</w:t>
            </w:r>
            <w:r>
              <w:rPr>
                <w:rFonts w:eastAsia="標楷體" w:hint="eastAsia"/>
                <w:color w:val="000000"/>
                <w:sz w:val="32"/>
              </w:rPr>
              <w:t>活動</w:t>
            </w:r>
          </w:p>
        </w:tc>
      </w:tr>
      <w:tr w:rsidR="009D053B" w:rsidTr="000B44AB">
        <w:trPr>
          <w:trHeight w:val="567"/>
        </w:trPr>
        <w:tc>
          <w:tcPr>
            <w:tcW w:w="1658" w:type="dxa"/>
            <w:vAlign w:val="center"/>
          </w:tcPr>
          <w:p w:rsidR="009D053B" w:rsidRDefault="009D053B" w:rsidP="000B44AB">
            <w:pPr>
              <w:snapToGrid w:val="0"/>
              <w:spacing w:line="180" w:lineRule="auto"/>
              <w:ind w:firstLine="0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考察經過</w:t>
            </w:r>
          </w:p>
        </w:tc>
        <w:tc>
          <w:tcPr>
            <w:tcW w:w="7403" w:type="dxa"/>
            <w:vAlign w:val="center"/>
          </w:tcPr>
          <w:p w:rsidR="009D053B" w:rsidRDefault="009D053B" w:rsidP="000B44AB">
            <w:pPr>
              <w:snapToGrid w:val="0"/>
              <w:spacing w:line="180" w:lineRule="auto"/>
              <w:ind w:firstLine="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詳如行程表</w:t>
            </w:r>
          </w:p>
        </w:tc>
      </w:tr>
      <w:tr w:rsidR="009D053B" w:rsidRPr="00BD3587" w:rsidTr="00053536">
        <w:trPr>
          <w:trHeight w:val="8907"/>
        </w:trPr>
        <w:tc>
          <w:tcPr>
            <w:tcW w:w="1658" w:type="dxa"/>
            <w:vAlign w:val="center"/>
          </w:tcPr>
          <w:p w:rsidR="009D053B" w:rsidRPr="00BD3587" w:rsidRDefault="009D053B" w:rsidP="000B44AB">
            <w:pPr>
              <w:snapToGrid w:val="0"/>
              <w:spacing w:line="180" w:lineRule="auto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35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考察心得及建議</w:t>
            </w:r>
          </w:p>
        </w:tc>
        <w:tc>
          <w:tcPr>
            <w:tcW w:w="7403" w:type="dxa"/>
            <w:vAlign w:val="center"/>
          </w:tcPr>
          <w:p w:rsidR="00733A00" w:rsidRPr="00733A00" w:rsidRDefault="00733A00" w:rsidP="00733A00">
            <w:pPr>
              <w:spacing w:afterLines="50" w:after="180" w:line="400" w:lineRule="exact"/>
              <w:ind w:left="2" w:firstLineChars="200" w:firstLine="640"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  <w:r w:rsidRPr="00733A0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越南中部峴港被美國國家地理雜誌評選為人生必去的50個地方之一，</w:t>
            </w:r>
            <w:r w:rsidRPr="00733A0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是一個新興的旅遊城市，破壞少，景色美，單純而質樸，餘韻無窮，令人回味！  </w:t>
            </w:r>
            <w:r w:rsidRPr="00733A0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  <w:r w:rsidRPr="00733A00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越南峴港的迷人之處，在於其蘊含豐富的歷史文化</w:t>
            </w:r>
            <w:r w:rsidRPr="00733A0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越南建國前受中國統治，19世紀時又被法國殖民，二戰時又被日本佔領，越戰時期美軍又進駐</w:t>
            </w:r>
            <w:r w:rsidRPr="00733A0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Pr="00733A0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這複雜的歷史背景讓</w:t>
            </w:r>
            <w:r w:rsidRPr="00733A0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  <w:r w:rsidRPr="00733A0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很容易看到混雜的人文及建築風格，甚至影響他們的食物跟傳統。</w:t>
            </w:r>
            <w:r w:rsidRPr="00733A00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峴港</w:t>
            </w:r>
            <w:r w:rsidRPr="00733A00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也</w:t>
            </w:r>
            <w:r w:rsidRPr="00733A00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是越南中部重要的交通樞紐</w:t>
            </w:r>
            <w:r w:rsidRPr="00733A00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，</w:t>
            </w:r>
            <w:r w:rsidRPr="00733A00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1小時的車程就有三處世界文化遺產</w:t>
            </w:r>
            <w:r w:rsidRPr="00733A00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，</w:t>
            </w:r>
            <w:r w:rsidRPr="00733A00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會安古鎮、會安絲綢村以及自西元4世紀的占婆王朝的遺址美山聖地，漫步在世界遺產中，欣賞典雅建築，沈浸質樸的氣息，讓人感覺彷彿走入時光隧道般</w:t>
            </w:r>
            <w:r w:rsidRPr="00733A00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的</w:t>
            </w:r>
            <w:r w:rsidRPr="00733A00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歷史場景。</w:t>
            </w:r>
          </w:p>
          <w:p w:rsidR="00733A00" w:rsidRPr="00733A00" w:rsidRDefault="00733A00" w:rsidP="00733A00">
            <w:pPr>
              <w:spacing w:afterLines="50" w:after="180" w:line="400" w:lineRule="exact"/>
              <w:ind w:left="2" w:firstLineChars="200" w:firstLine="640"/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</w:pPr>
            <w:r w:rsidRPr="00733A00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越南歷經戰火，古蹟保存及維護還可以這般完善，可見當地政府的用心，值得借鏡。</w:t>
            </w:r>
            <w:r w:rsidRPr="00733A0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幾年前中越的旅遊業並不發達，主因是交通不便，前往中越峴港只能透過北越河內或其他地區中轉前往，使得旅遊推廣格外辛苦，後來因為開放直航，才成功將峴港拓展成為旅遊市場的亮點。</w:t>
            </w:r>
          </w:p>
          <w:p w:rsidR="00733A00" w:rsidRPr="00733A00" w:rsidRDefault="00733A00" w:rsidP="00733A00">
            <w:pPr>
              <w:spacing w:afterLines="50" w:after="180" w:line="400" w:lineRule="exact"/>
              <w:ind w:left="2" w:firstLineChars="200" w:firstLine="64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33A0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一般人選擇旅遊去處，不外乎是景點的亮度及美食的特色為最大的考慮，畢竟吃與玩是人的基本需求。因此在打造本鄉旅遊觀光產業的關鍵點也不外乎是這兩項目，分述如下：</w:t>
            </w:r>
          </w:p>
          <w:p w:rsidR="00733A00" w:rsidRPr="00733A00" w:rsidRDefault="00733A00" w:rsidP="00733A00">
            <w:pPr>
              <w:spacing w:afterLines="50" w:after="180" w:line="400" w:lineRule="exact"/>
              <w:ind w:left="2" w:firstLineChars="200" w:firstLine="640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733A0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（一）景點亮度：無景造景，有景加亮，原來沒有景的特意造景，例如藝術裝飾或是公園休憩區等，但是投入成本高收益低，比較可行的是有景加亮，原來就有現成的景，例如古蹟、古城、天然的山川美景等，來加予投入資金打造，改善交通、環境整理、旅客服務設施或是人 造景物等，使得景點更亮，更能吸收遊客，當我們網路</w:t>
            </w:r>
            <w:r w:rsidRPr="00733A0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裡面搜尋峴港，將會看到一張張照片主角都是最夯的巨手橋，這個斥資20億美金打造的黃金橋位於巴拿山山上，海拔1,400公尺，總長150公尺，兩隻巨手所捧起的橋身散發著黃金般的色澤，站在橋上眺望美景，讓人不禁心曠神怡</w:t>
            </w:r>
            <w:r w:rsidRPr="00733A0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，但是在黃金橋未施造前這裡也不過是個視野遼闊的山頭而已，如今却成為招攬旅遊中越的宣傳圖片</w:t>
            </w:r>
            <w:r w:rsidRPr="00733A0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。</w:t>
            </w:r>
          </w:p>
          <w:p w:rsidR="00733A00" w:rsidRPr="00733A00" w:rsidRDefault="00733A00" w:rsidP="00733A00">
            <w:pPr>
              <w:spacing w:afterLines="50" w:after="180" w:line="400" w:lineRule="exact"/>
              <w:ind w:left="2" w:firstLineChars="200" w:firstLine="64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33A0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（二）美食特色：每個國家或地區，都會因為當地的環境氣候、傳統生活習慣等因素而形成當地特有的飲食，人們會想要到世界各地去旅行，除了欣賞各地不同的景物，更想要的是品嚐各地不同風味的飲食，因此打造觀光</w:t>
            </w:r>
            <w:bookmarkStart w:id="0" w:name="_GoBack"/>
            <w:bookmarkEnd w:id="0"/>
            <w:r w:rsidRPr="00733A0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產業，當地特有美食的推廣極為重要，包括辦理美食的研習、競賽，文創包裝、行銷等。</w:t>
            </w:r>
          </w:p>
          <w:p w:rsidR="0057054A" w:rsidRPr="00733A00" w:rsidRDefault="00733A00" w:rsidP="00733A00">
            <w:pPr>
              <w:spacing w:afterLines="50" w:after="180" w:line="400" w:lineRule="exact"/>
              <w:ind w:left="2" w:firstLineChars="200" w:firstLine="64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33A00">
              <w:rPr>
                <w:rFonts w:ascii="標楷體" w:eastAsia="標楷體" w:hAnsi="標楷體" w:cs="Arial"/>
                <w:color w:val="000000" w:themeColor="text1"/>
                <w:sz w:val="32"/>
                <w:szCs w:val="32"/>
                <w:shd w:val="clear" w:color="auto" w:fill="FFFFFF"/>
              </w:rPr>
              <w:t>本</w:t>
            </w:r>
            <w:r w:rsidRPr="00733A00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鄉為沿海鄉鎮，與中越峴港</w:t>
            </w:r>
            <w:r w:rsidRPr="00733A00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頗多相同之處，</w:t>
            </w:r>
            <w:r w:rsidRPr="00733A00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加上</w:t>
            </w:r>
            <w:r w:rsidRPr="00733A00">
              <w:rPr>
                <w:rFonts w:ascii="標楷體" w:eastAsia="標楷體" w:hAnsi="標楷體" w:cs="Arial"/>
                <w:color w:val="000000" w:themeColor="text1"/>
                <w:sz w:val="32"/>
                <w:szCs w:val="32"/>
                <w:shd w:val="clear" w:color="auto" w:fill="FFFFFF"/>
              </w:rPr>
              <w:t>各種文化廟宇擁有其獨特性，規劃連結可供本</w:t>
            </w:r>
            <w:r w:rsidRPr="00733A00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鄉</w:t>
            </w:r>
            <w:r w:rsidRPr="00733A00">
              <w:rPr>
                <w:rFonts w:ascii="標楷體" w:eastAsia="標楷體" w:hAnsi="標楷體" w:cs="Arial"/>
                <w:color w:val="000000" w:themeColor="text1"/>
                <w:sz w:val="32"/>
                <w:szCs w:val="32"/>
                <w:shd w:val="clear" w:color="auto" w:fill="FFFFFF"/>
              </w:rPr>
              <w:t>日後推動觀光的主要</w:t>
            </w:r>
            <w:r w:rsidRPr="00733A00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地</w:t>
            </w:r>
            <w:r w:rsidRPr="00733A00">
              <w:rPr>
                <w:rFonts w:ascii="標楷體" w:eastAsia="標楷體" w:hAnsi="標楷體" w:cs="Arial"/>
                <w:color w:val="000000" w:themeColor="text1"/>
                <w:sz w:val="32"/>
                <w:szCs w:val="32"/>
                <w:shd w:val="clear" w:color="auto" w:fill="FFFFFF"/>
              </w:rPr>
              <w:t>核心，並應廣加愛護、</w:t>
            </w:r>
            <w:r w:rsidRPr="00733A00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古蹟</w:t>
            </w:r>
            <w:r w:rsidRPr="00733A00">
              <w:rPr>
                <w:rFonts w:ascii="標楷體" w:eastAsia="標楷體" w:hAnsi="標楷體" w:cs="Arial"/>
                <w:color w:val="000000" w:themeColor="text1"/>
                <w:sz w:val="32"/>
                <w:szCs w:val="32"/>
                <w:shd w:val="clear" w:color="auto" w:fill="FFFFFF"/>
              </w:rPr>
              <w:t>文物保存，藉以</w:t>
            </w:r>
            <w:r w:rsidRPr="00733A00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創造方商機。</w:t>
            </w:r>
            <w:r w:rsidRPr="00733A0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因此本次選擇前往旅遊正夯的越南，走訪法式巴拿山城、會安古蹟、美山聖地、迦南島等中越城鎮，觀摩其在古蹟文化之管理維護及農業觀光產業之包裝行銷，俾供本鄉施政者之學習標竿。</w:t>
            </w:r>
          </w:p>
        </w:tc>
      </w:tr>
    </w:tbl>
    <w:p w:rsidR="00D33081" w:rsidRPr="00BD3587" w:rsidRDefault="00D33081" w:rsidP="00D33081">
      <w:pPr>
        <w:ind w:firstLineChars="200" w:firstLine="560"/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</w:pPr>
    </w:p>
    <w:sectPr w:rsidR="00D33081" w:rsidRPr="00BD3587" w:rsidSect="00571E35">
      <w:pgSz w:w="11906" w:h="16838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B15" w:rsidRDefault="00321B15" w:rsidP="000B44AB">
      <w:pPr>
        <w:ind w:firstLine="480"/>
      </w:pPr>
      <w:r>
        <w:separator/>
      </w:r>
    </w:p>
  </w:endnote>
  <w:endnote w:type="continuationSeparator" w:id="0">
    <w:p w:rsidR="00321B15" w:rsidRDefault="00321B15" w:rsidP="000B44AB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B15" w:rsidRDefault="00321B15" w:rsidP="000B44AB">
      <w:pPr>
        <w:ind w:firstLine="480"/>
      </w:pPr>
      <w:r>
        <w:separator/>
      </w:r>
    </w:p>
  </w:footnote>
  <w:footnote w:type="continuationSeparator" w:id="0">
    <w:p w:rsidR="00321B15" w:rsidRDefault="00321B15" w:rsidP="000B44AB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053B"/>
    <w:rsid w:val="00024000"/>
    <w:rsid w:val="0004117D"/>
    <w:rsid w:val="00053536"/>
    <w:rsid w:val="000B44AB"/>
    <w:rsid w:val="001211B8"/>
    <w:rsid w:val="00144D8B"/>
    <w:rsid w:val="001469C4"/>
    <w:rsid w:val="0019217F"/>
    <w:rsid w:val="001C586F"/>
    <w:rsid w:val="00207B10"/>
    <w:rsid w:val="00230E34"/>
    <w:rsid w:val="00260162"/>
    <w:rsid w:val="002B2B35"/>
    <w:rsid w:val="002C5530"/>
    <w:rsid w:val="00321B15"/>
    <w:rsid w:val="00323E25"/>
    <w:rsid w:val="00342668"/>
    <w:rsid w:val="0037213D"/>
    <w:rsid w:val="00376680"/>
    <w:rsid w:val="00386751"/>
    <w:rsid w:val="003A3C71"/>
    <w:rsid w:val="00445A28"/>
    <w:rsid w:val="00467056"/>
    <w:rsid w:val="004A564A"/>
    <w:rsid w:val="004F2BFE"/>
    <w:rsid w:val="00506BB3"/>
    <w:rsid w:val="005267C8"/>
    <w:rsid w:val="0057054A"/>
    <w:rsid w:val="00571E35"/>
    <w:rsid w:val="005B6186"/>
    <w:rsid w:val="005E2CF2"/>
    <w:rsid w:val="00605F63"/>
    <w:rsid w:val="00636C9E"/>
    <w:rsid w:val="00733A00"/>
    <w:rsid w:val="007D1B2C"/>
    <w:rsid w:val="007D4300"/>
    <w:rsid w:val="007F2899"/>
    <w:rsid w:val="008B7D15"/>
    <w:rsid w:val="00916DB6"/>
    <w:rsid w:val="009D053B"/>
    <w:rsid w:val="009E4598"/>
    <w:rsid w:val="00A51F9D"/>
    <w:rsid w:val="00A65B0C"/>
    <w:rsid w:val="00B14687"/>
    <w:rsid w:val="00BD3587"/>
    <w:rsid w:val="00BF5B54"/>
    <w:rsid w:val="00C83A0F"/>
    <w:rsid w:val="00CD217B"/>
    <w:rsid w:val="00D069CA"/>
    <w:rsid w:val="00D22F61"/>
    <w:rsid w:val="00D33081"/>
    <w:rsid w:val="00D6336C"/>
    <w:rsid w:val="00D73073"/>
    <w:rsid w:val="00DB69B1"/>
    <w:rsid w:val="00E07E95"/>
    <w:rsid w:val="00E83EB5"/>
    <w:rsid w:val="00EF6A5F"/>
    <w:rsid w:val="00F1026A"/>
    <w:rsid w:val="00F20137"/>
    <w:rsid w:val="00F849FA"/>
    <w:rsid w:val="00F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60C62487"/>
  <w15:docId w15:val="{380D21BC-7F0B-4706-ADDC-A987E7EC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720" w:lineRule="auto"/>
        <w:ind w:firstLine="64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5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F2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2B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2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2BFE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506BB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basedOn w:val="a0"/>
    <w:uiPriority w:val="99"/>
    <w:semiHidden/>
    <w:unhideWhenUsed/>
    <w:rsid w:val="0057054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26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67C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F1026A"/>
    <w:rPr>
      <w:b/>
      <w:bCs/>
    </w:rPr>
  </w:style>
  <w:style w:type="paragraph" w:styleId="ac">
    <w:name w:val="Body Text"/>
    <w:basedOn w:val="a"/>
    <w:link w:val="ad"/>
    <w:uiPriority w:val="1"/>
    <w:qFormat/>
    <w:rsid w:val="000B44AB"/>
    <w:pPr>
      <w:spacing w:line="240" w:lineRule="auto"/>
      <w:ind w:left="246" w:firstLine="0"/>
    </w:pPr>
    <w:rPr>
      <w:rFonts w:ascii="微軟正黑體" w:eastAsia="微軟正黑體" w:hAnsi="微軟正黑體" w:cstheme="minorBidi"/>
      <w:kern w:val="0"/>
      <w:sz w:val="22"/>
      <w:szCs w:val="22"/>
      <w:lang w:eastAsia="en-US"/>
    </w:rPr>
  </w:style>
  <w:style w:type="character" w:customStyle="1" w:styleId="ad">
    <w:name w:val="本文 字元"/>
    <w:basedOn w:val="a0"/>
    <w:link w:val="ac"/>
    <w:uiPriority w:val="1"/>
    <w:rsid w:val="000B44AB"/>
    <w:rPr>
      <w:rFonts w:ascii="微軟正黑體" w:eastAsia="微軟正黑體" w:hAnsi="微軟正黑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2023-07-24T06:56:00Z</cp:lastPrinted>
  <dcterms:created xsi:type="dcterms:W3CDTF">2018-07-23T02:52:00Z</dcterms:created>
  <dcterms:modified xsi:type="dcterms:W3CDTF">2023-07-24T06:57:00Z</dcterms:modified>
</cp:coreProperties>
</file>